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24F" w:rsidRDefault="00207E05">
      <w:pPr>
        <w:pStyle w:val="Titre"/>
        <w:spacing w:before="240" w:after="240"/>
        <w:jc w:val="both"/>
      </w:pPr>
      <w:bookmarkStart w:id="0" w:name="_k160bebyf2k5" w:colFirst="0" w:colLast="0"/>
      <w:bookmarkStart w:id="1" w:name="_GoBack"/>
      <w:bookmarkEnd w:id="0"/>
      <w:bookmarkEnd w:id="1"/>
      <w:r>
        <w:t>Clarification des champs d’intervention de l’IGN et de l’ANCT pour le PCRS</w:t>
      </w:r>
    </w:p>
    <w:p w:rsidR="00D8424F" w:rsidRDefault="00207E05">
      <w:pPr>
        <w:spacing w:before="240" w:after="240"/>
        <w:jc w:val="both"/>
      </w:pPr>
      <w:r>
        <w:t>Par le mandat de 2019, la Direction générale de prévention des risques a confié à l’IGN un rôle de référent national pour le déploiement du PCRS. En réponse à de nouvelles sollicitations, l’Agence nationale de cohésion des territoires s’est intégrée en 202</w:t>
      </w:r>
      <w:r>
        <w:t>2 au processus par le biais d’une startup d'État. Pour répondre au nécessaire besoin de coordination et éviter une duplication des efforts, ces deux acteurs se sont accordés sur une répartition des tâches là où cela est possible. La grille ci-dessus a pour</w:t>
      </w:r>
      <w:r>
        <w:t xml:space="preserve"> vocation d’aider une tierce partie qui souhaiterait faire appel spécifiquement à un de ces deux organismes à contacter celui le plus approprié. </w:t>
      </w:r>
    </w:p>
    <w:p w:rsidR="00D8424F" w:rsidRDefault="00D8424F">
      <w:pPr>
        <w:spacing w:before="240" w:after="240"/>
        <w:jc w:val="both"/>
      </w:pPr>
    </w:p>
    <w:tbl>
      <w:tblPr>
        <w:tblStyle w:val="a"/>
        <w:tblW w:w="82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3810"/>
        <w:gridCol w:w="1920"/>
        <w:gridCol w:w="1875"/>
      </w:tblGrid>
      <w:tr w:rsidR="00D8424F">
        <w:tc>
          <w:tcPr>
            <w:tcW w:w="645" w:type="dxa"/>
            <w:shd w:val="clear" w:color="auto" w:fill="auto"/>
            <w:tcMar>
              <w:top w:w="100" w:type="dxa"/>
              <w:left w:w="100" w:type="dxa"/>
              <w:bottom w:w="100" w:type="dxa"/>
              <w:right w:w="100" w:type="dxa"/>
            </w:tcMar>
          </w:tcPr>
          <w:p w:rsidR="00D8424F" w:rsidRDefault="00207E05">
            <w:pPr>
              <w:widowControl w:val="0"/>
              <w:spacing w:line="240" w:lineRule="auto"/>
              <w:jc w:val="center"/>
            </w:pPr>
            <w:r>
              <w:t>#</w:t>
            </w:r>
          </w:p>
        </w:tc>
        <w:tc>
          <w:tcPr>
            <w:tcW w:w="3810" w:type="dxa"/>
            <w:shd w:val="clear" w:color="auto" w:fill="auto"/>
            <w:tcMar>
              <w:top w:w="100" w:type="dxa"/>
              <w:left w:w="100" w:type="dxa"/>
              <w:bottom w:w="100" w:type="dxa"/>
              <w:right w:w="100" w:type="dxa"/>
            </w:tcMar>
          </w:tcPr>
          <w:p w:rsidR="00D8424F" w:rsidRDefault="00207E05">
            <w:pPr>
              <w:widowControl w:val="0"/>
              <w:spacing w:line="240" w:lineRule="auto"/>
            </w:pPr>
            <w:r>
              <w:t>Activité</w:t>
            </w:r>
          </w:p>
        </w:tc>
        <w:tc>
          <w:tcPr>
            <w:tcW w:w="1920" w:type="dxa"/>
            <w:shd w:val="clear" w:color="auto" w:fill="auto"/>
            <w:tcMar>
              <w:top w:w="100" w:type="dxa"/>
              <w:left w:w="100" w:type="dxa"/>
              <w:bottom w:w="100" w:type="dxa"/>
              <w:right w:w="100" w:type="dxa"/>
            </w:tcMar>
          </w:tcPr>
          <w:p w:rsidR="00D8424F" w:rsidRDefault="00207E05">
            <w:pPr>
              <w:widowControl w:val="0"/>
              <w:spacing w:line="240" w:lineRule="auto"/>
            </w:pPr>
            <w:r>
              <w:t>Echelle nationale</w:t>
            </w:r>
          </w:p>
        </w:tc>
        <w:tc>
          <w:tcPr>
            <w:tcW w:w="1875" w:type="dxa"/>
            <w:shd w:val="clear" w:color="auto" w:fill="auto"/>
            <w:tcMar>
              <w:top w:w="100" w:type="dxa"/>
              <w:left w:w="100" w:type="dxa"/>
              <w:bottom w:w="100" w:type="dxa"/>
              <w:right w:w="100" w:type="dxa"/>
            </w:tcMar>
          </w:tcPr>
          <w:p w:rsidR="00D8424F" w:rsidRDefault="00207E05">
            <w:pPr>
              <w:widowControl w:val="0"/>
              <w:spacing w:line="240" w:lineRule="auto"/>
            </w:pPr>
            <w:r>
              <w:t>Projet local</w:t>
            </w:r>
          </w:p>
        </w:tc>
      </w:tr>
      <w:tr w:rsidR="00D8424F">
        <w:trPr>
          <w:trHeight w:val="672"/>
        </w:trPr>
        <w:tc>
          <w:tcPr>
            <w:tcW w:w="645" w:type="dxa"/>
            <w:shd w:val="clear" w:color="auto" w:fill="auto"/>
            <w:tcMar>
              <w:top w:w="100" w:type="dxa"/>
              <w:left w:w="100" w:type="dxa"/>
              <w:bottom w:w="100" w:type="dxa"/>
              <w:right w:w="100" w:type="dxa"/>
            </w:tcMar>
          </w:tcPr>
          <w:p w:rsidR="00D8424F" w:rsidRDefault="00207E05">
            <w:pPr>
              <w:widowControl w:val="0"/>
              <w:spacing w:line="240" w:lineRule="auto"/>
              <w:jc w:val="center"/>
            </w:pPr>
            <w:r>
              <w:t>1</w:t>
            </w:r>
          </w:p>
        </w:tc>
        <w:tc>
          <w:tcPr>
            <w:tcW w:w="3810" w:type="dxa"/>
            <w:shd w:val="clear" w:color="auto" w:fill="auto"/>
            <w:tcMar>
              <w:top w:w="100" w:type="dxa"/>
              <w:left w:w="100" w:type="dxa"/>
              <w:bottom w:w="100" w:type="dxa"/>
              <w:right w:w="100" w:type="dxa"/>
            </w:tcMar>
          </w:tcPr>
          <w:p w:rsidR="00D8424F" w:rsidRDefault="00207E05">
            <w:pPr>
              <w:widowControl w:val="0"/>
              <w:spacing w:line="240" w:lineRule="auto"/>
            </w:pPr>
            <w:r>
              <w:t>Appui documentaire et réglementaire à destination des porteurs d</w:t>
            </w:r>
            <w:r>
              <w:t>e projets</w:t>
            </w:r>
          </w:p>
        </w:tc>
        <w:tc>
          <w:tcPr>
            <w:tcW w:w="1920" w:type="dxa"/>
            <w:shd w:val="clear" w:color="auto" w:fill="auto"/>
            <w:tcMar>
              <w:top w:w="100" w:type="dxa"/>
              <w:left w:w="100" w:type="dxa"/>
              <w:bottom w:w="100" w:type="dxa"/>
              <w:right w:w="100" w:type="dxa"/>
            </w:tcMar>
          </w:tcPr>
          <w:p w:rsidR="00D8424F" w:rsidRDefault="00207E05">
            <w:pPr>
              <w:widowControl w:val="0"/>
              <w:spacing w:line="240" w:lineRule="auto"/>
              <w:jc w:val="center"/>
            </w:pPr>
            <w:r>
              <w:rPr>
                <w:noProof/>
                <w:lang w:val="fr-FR"/>
              </w:rPr>
              <w:drawing>
                <wp:inline distT="19050" distB="19050" distL="19050" distR="19050">
                  <wp:extent cx="942975" cy="342900"/>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942975" cy="342900"/>
                          </a:xfrm>
                          <a:prstGeom prst="rect">
                            <a:avLst/>
                          </a:prstGeom>
                          <a:ln/>
                        </pic:spPr>
                      </pic:pic>
                    </a:graphicData>
                  </a:graphic>
                </wp:inline>
              </w:drawing>
            </w:r>
          </w:p>
        </w:tc>
        <w:tc>
          <w:tcPr>
            <w:tcW w:w="1875" w:type="dxa"/>
            <w:shd w:val="clear" w:color="auto" w:fill="auto"/>
            <w:tcMar>
              <w:top w:w="100" w:type="dxa"/>
              <w:left w:w="100" w:type="dxa"/>
              <w:bottom w:w="100" w:type="dxa"/>
              <w:right w:w="100" w:type="dxa"/>
            </w:tcMar>
          </w:tcPr>
          <w:p w:rsidR="00D8424F" w:rsidRDefault="00207E05">
            <w:pPr>
              <w:jc w:val="center"/>
            </w:pPr>
            <w:r>
              <w:rPr>
                <w:noProof/>
                <w:lang w:val="fr-FR"/>
              </w:rPr>
              <w:drawing>
                <wp:inline distT="114300" distB="114300" distL="114300" distR="114300">
                  <wp:extent cx="838200" cy="4064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838200" cy="406400"/>
                          </a:xfrm>
                          <a:prstGeom prst="rect">
                            <a:avLst/>
                          </a:prstGeom>
                          <a:ln/>
                        </pic:spPr>
                      </pic:pic>
                    </a:graphicData>
                  </a:graphic>
                </wp:inline>
              </w:drawing>
            </w:r>
          </w:p>
        </w:tc>
      </w:tr>
      <w:tr w:rsidR="00D8424F">
        <w:trPr>
          <w:trHeight w:val="702"/>
        </w:trPr>
        <w:tc>
          <w:tcPr>
            <w:tcW w:w="645" w:type="dxa"/>
            <w:shd w:val="clear" w:color="auto" w:fill="auto"/>
            <w:tcMar>
              <w:top w:w="100" w:type="dxa"/>
              <w:left w:w="100" w:type="dxa"/>
              <w:bottom w:w="100" w:type="dxa"/>
              <w:right w:w="100" w:type="dxa"/>
            </w:tcMar>
          </w:tcPr>
          <w:p w:rsidR="00D8424F" w:rsidRDefault="00207E05">
            <w:pPr>
              <w:widowControl w:val="0"/>
              <w:spacing w:line="240" w:lineRule="auto"/>
              <w:jc w:val="center"/>
            </w:pPr>
            <w:r>
              <w:t>2</w:t>
            </w:r>
          </w:p>
        </w:tc>
        <w:tc>
          <w:tcPr>
            <w:tcW w:w="3810" w:type="dxa"/>
            <w:shd w:val="clear" w:color="auto" w:fill="auto"/>
            <w:tcMar>
              <w:top w:w="100" w:type="dxa"/>
              <w:left w:w="100" w:type="dxa"/>
              <w:bottom w:w="100" w:type="dxa"/>
              <w:right w:w="100" w:type="dxa"/>
            </w:tcMar>
          </w:tcPr>
          <w:p w:rsidR="00D8424F" w:rsidRDefault="00207E05">
            <w:pPr>
              <w:widowControl w:val="0"/>
              <w:spacing w:line="240" w:lineRule="auto"/>
            </w:pPr>
            <w:r>
              <w:t>Appui technique et partage d’expertise</w:t>
            </w:r>
          </w:p>
        </w:tc>
        <w:tc>
          <w:tcPr>
            <w:tcW w:w="1920" w:type="dxa"/>
            <w:shd w:val="clear" w:color="auto" w:fill="auto"/>
            <w:tcMar>
              <w:top w:w="100" w:type="dxa"/>
              <w:left w:w="100" w:type="dxa"/>
              <w:bottom w:w="100" w:type="dxa"/>
              <w:right w:w="100" w:type="dxa"/>
            </w:tcMar>
          </w:tcPr>
          <w:p w:rsidR="00D8424F" w:rsidRDefault="00207E05">
            <w:pPr>
              <w:widowControl w:val="0"/>
              <w:spacing w:line="240" w:lineRule="auto"/>
              <w:jc w:val="center"/>
            </w:pPr>
            <w:r>
              <w:rPr>
                <w:noProof/>
                <w:lang w:val="fr-FR"/>
              </w:rPr>
              <w:drawing>
                <wp:inline distT="114300" distB="114300" distL="114300" distR="114300">
                  <wp:extent cx="942975" cy="429163"/>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12595" b="15962"/>
                          <a:stretch>
                            <a:fillRect/>
                          </a:stretch>
                        </pic:blipFill>
                        <pic:spPr>
                          <a:xfrm>
                            <a:off x="0" y="0"/>
                            <a:ext cx="942975" cy="429163"/>
                          </a:xfrm>
                          <a:prstGeom prst="rect">
                            <a:avLst/>
                          </a:prstGeom>
                          <a:ln/>
                        </pic:spPr>
                      </pic:pic>
                    </a:graphicData>
                  </a:graphic>
                </wp:inline>
              </w:drawing>
            </w:r>
          </w:p>
        </w:tc>
        <w:tc>
          <w:tcPr>
            <w:tcW w:w="1875" w:type="dxa"/>
            <w:shd w:val="clear" w:color="auto" w:fill="auto"/>
            <w:tcMar>
              <w:top w:w="100" w:type="dxa"/>
              <w:left w:w="100" w:type="dxa"/>
              <w:bottom w:w="100" w:type="dxa"/>
              <w:right w:w="100" w:type="dxa"/>
            </w:tcMar>
          </w:tcPr>
          <w:p w:rsidR="00D8424F" w:rsidRDefault="00207E05">
            <w:pPr>
              <w:widowControl w:val="0"/>
              <w:spacing w:line="240" w:lineRule="auto"/>
              <w:jc w:val="center"/>
            </w:pPr>
            <w:r>
              <w:rPr>
                <w:noProof/>
                <w:lang w:val="fr-FR"/>
              </w:rPr>
              <w:drawing>
                <wp:inline distT="114300" distB="114300" distL="114300" distR="114300">
                  <wp:extent cx="838200" cy="3810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12595" b="15962"/>
                          <a:stretch>
                            <a:fillRect/>
                          </a:stretch>
                        </pic:blipFill>
                        <pic:spPr>
                          <a:xfrm>
                            <a:off x="0" y="0"/>
                            <a:ext cx="838200" cy="381000"/>
                          </a:xfrm>
                          <a:prstGeom prst="rect">
                            <a:avLst/>
                          </a:prstGeom>
                          <a:ln/>
                        </pic:spPr>
                      </pic:pic>
                    </a:graphicData>
                  </a:graphic>
                </wp:inline>
              </w:drawing>
            </w:r>
          </w:p>
        </w:tc>
      </w:tr>
      <w:tr w:rsidR="00D8424F">
        <w:trPr>
          <w:trHeight w:val="687"/>
        </w:trPr>
        <w:tc>
          <w:tcPr>
            <w:tcW w:w="645" w:type="dxa"/>
            <w:shd w:val="clear" w:color="auto" w:fill="auto"/>
            <w:tcMar>
              <w:top w:w="100" w:type="dxa"/>
              <w:left w:w="100" w:type="dxa"/>
              <w:bottom w:w="100" w:type="dxa"/>
              <w:right w:w="100" w:type="dxa"/>
            </w:tcMar>
          </w:tcPr>
          <w:p w:rsidR="00D8424F" w:rsidRDefault="00207E05">
            <w:pPr>
              <w:widowControl w:val="0"/>
              <w:spacing w:line="240" w:lineRule="auto"/>
              <w:jc w:val="center"/>
            </w:pPr>
            <w:r>
              <w:t>3</w:t>
            </w:r>
          </w:p>
        </w:tc>
        <w:tc>
          <w:tcPr>
            <w:tcW w:w="3810" w:type="dxa"/>
            <w:shd w:val="clear" w:color="auto" w:fill="auto"/>
            <w:tcMar>
              <w:top w:w="100" w:type="dxa"/>
              <w:left w:w="100" w:type="dxa"/>
              <w:bottom w:w="100" w:type="dxa"/>
              <w:right w:w="100" w:type="dxa"/>
            </w:tcMar>
          </w:tcPr>
          <w:p w:rsidR="00D8424F" w:rsidRDefault="00207E05">
            <w:pPr>
              <w:widowControl w:val="0"/>
              <w:spacing w:line="240" w:lineRule="auto"/>
            </w:pPr>
            <w:r>
              <w:t>Appui administratif et financier</w:t>
            </w:r>
          </w:p>
        </w:tc>
        <w:tc>
          <w:tcPr>
            <w:tcW w:w="1920" w:type="dxa"/>
            <w:shd w:val="clear" w:color="auto" w:fill="CCCCCC"/>
            <w:tcMar>
              <w:top w:w="100" w:type="dxa"/>
              <w:left w:w="100" w:type="dxa"/>
              <w:bottom w:w="100" w:type="dxa"/>
              <w:right w:w="100" w:type="dxa"/>
            </w:tcMar>
          </w:tcPr>
          <w:p w:rsidR="00D8424F" w:rsidRDefault="00207E05">
            <w:pPr>
              <w:widowControl w:val="0"/>
              <w:spacing w:line="240" w:lineRule="auto"/>
              <w:jc w:val="center"/>
              <w:rPr>
                <w:i/>
              </w:rPr>
            </w:pPr>
            <w:r>
              <w:rPr>
                <w:i/>
              </w:rPr>
              <w:t>sans objet</w:t>
            </w:r>
          </w:p>
          <w:p w:rsidR="00D8424F" w:rsidRDefault="00207E05">
            <w:pPr>
              <w:widowControl w:val="0"/>
              <w:spacing w:line="240" w:lineRule="auto"/>
              <w:jc w:val="center"/>
              <w:rPr>
                <w:i/>
              </w:rPr>
            </w:pPr>
            <w:r>
              <w:rPr>
                <w:i/>
              </w:rPr>
              <w:t>actuellement</w:t>
            </w:r>
          </w:p>
        </w:tc>
        <w:tc>
          <w:tcPr>
            <w:tcW w:w="1875" w:type="dxa"/>
            <w:shd w:val="clear" w:color="auto" w:fill="auto"/>
            <w:tcMar>
              <w:top w:w="100" w:type="dxa"/>
              <w:left w:w="100" w:type="dxa"/>
              <w:bottom w:w="100" w:type="dxa"/>
              <w:right w:w="100" w:type="dxa"/>
            </w:tcMar>
          </w:tcPr>
          <w:p w:rsidR="00D8424F" w:rsidRDefault="00207E05">
            <w:pPr>
              <w:widowControl w:val="0"/>
              <w:spacing w:line="240" w:lineRule="auto"/>
              <w:jc w:val="center"/>
            </w:pPr>
            <w:r>
              <w:rPr>
                <w:noProof/>
                <w:lang w:val="fr-FR"/>
              </w:rPr>
              <w:drawing>
                <wp:inline distT="114300" distB="114300" distL="114300" distR="114300">
                  <wp:extent cx="838200" cy="38100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12047" b="15962"/>
                          <a:stretch>
                            <a:fillRect/>
                          </a:stretch>
                        </pic:blipFill>
                        <pic:spPr>
                          <a:xfrm>
                            <a:off x="0" y="0"/>
                            <a:ext cx="838200" cy="381000"/>
                          </a:xfrm>
                          <a:prstGeom prst="rect">
                            <a:avLst/>
                          </a:prstGeom>
                          <a:ln/>
                        </pic:spPr>
                      </pic:pic>
                    </a:graphicData>
                  </a:graphic>
                </wp:inline>
              </w:drawing>
            </w:r>
          </w:p>
        </w:tc>
      </w:tr>
      <w:tr w:rsidR="00D8424F">
        <w:trPr>
          <w:trHeight w:val="732"/>
        </w:trPr>
        <w:tc>
          <w:tcPr>
            <w:tcW w:w="645" w:type="dxa"/>
            <w:shd w:val="clear" w:color="auto" w:fill="auto"/>
            <w:tcMar>
              <w:top w:w="100" w:type="dxa"/>
              <w:left w:w="100" w:type="dxa"/>
              <w:bottom w:w="100" w:type="dxa"/>
              <w:right w:w="100" w:type="dxa"/>
            </w:tcMar>
          </w:tcPr>
          <w:p w:rsidR="00D8424F" w:rsidRDefault="00207E05">
            <w:pPr>
              <w:widowControl w:val="0"/>
              <w:spacing w:line="240" w:lineRule="auto"/>
              <w:jc w:val="center"/>
            </w:pPr>
            <w:r>
              <w:t>4</w:t>
            </w:r>
          </w:p>
        </w:tc>
        <w:tc>
          <w:tcPr>
            <w:tcW w:w="3810" w:type="dxa"/>
            <w:shd w:val="clear" w:color="auto" w:fill="auto"/>
            <w:tcMar>
              <w:top w:w="100" w:type="dxa"/>
              <w:left w:w="100" w:type="dxa"/>
              <w:bottom w:w="100" w:type="dxa"/>
              <w:right w:w="100" w:type="dxa"/>
            </w:tcMar>
          </w:tcPr>
          <w:p w:rsidR="00D8424F" w:rsidRDefault="00207E05">
            <w:pPr>
              <w:widowControl w:val="0"/>
              <w:spacing w:line="240" w:lineRule="auto"/>
            </w:pPr>
            <w:r>
              <w:t>Suivi (dév./exploitation) de l’état d’avancement des productions</w:t>
            </w:r>
          </w:p>
        </w:tc>
        <w:tc>
          <w:tcPr>
            <w:tcW w:w="1920" w:type="dxa"/>
            <w:shd w:val="clear" w:color="auto" w:fill="auto"/>
            <w:tcMar>
              <w:top w:w="100" w:type="dxa"/>
              <w:left w:w="100" w:type="dxa"/>
              <w:bottom w:w="100" w:type="dxa"/>
              <w:right w:w="100" w:type="dxa"/>
            </w:tcMar>
          </w:tcPr>
          <w:p w:rsidR="00D8424F" w:rsidRDefault="00207E05">
            <w:pPr>
              <w:widowControl w:val="0"/>
              <w:spacing w:line="240" w:lineRule="auto"/>
              <w:jc w:val="center"/>
            </w:pPr>
            <w:r>
              <w:rPr>
                <w:noProof/>
                <w:lang w:val="fr-FR"/>
              </w:rPr>
              <w:drawing>
                <wp:inline distT="19050" distB="19050" distL="19050" distR="19050">
                  <wp:extent cx="942975" cy="3429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942975" cy="342900"/>
                          </a:xfrm>
                          <a:prstGeom prst="rect">
                            <a:avLst/>
                          </a:prstGeom>
                          <a:ln/>
                        </pic:spPr>
                      </pic:pic>
                    </a:graphicData>
                  </a:graphic>
                </wp:inline>
              </w:drawing>
            </w:r>
          </w:p>
        </w:tc>
        <w:tc>
          <w:tcPr>
            <w:tcW w:w="1875" w:type="dxa"/>
            <w:shd w:val="clear" w:color="auto" w:fill="auto"/>
            <w:tcMar>
              <w:top w:w="100" w:type="dxa"/>
              <w:left w:w="100" w:type="dxa"/>
              <w:bottom w:w="100" w:type="dxa"/>
              <w:right w:w="100" w:type="dxa"/>
            </w:tcMar>
          </w:tcPr>
          <w:p w:rsidR="00D8424F" w:rsidRDefault="00207E05">
            <w:pPr>
              <w:widowControl w:val="0"/>
              <w:spacing w:line="240" w:lineRule="auto"/>
              <w:jc w:val="center"/>
            </w:pPr>
            <w:r>
              <w:rPr>
                <w:noProof/>
                <w:lang w:val="fr-FR"/>
              </w:rPr>
              <w:drawing>
                <wp:inline distT="19050" distB="19050" distL="19050" distR="19050">
                  <wp:extent cx="838200" cy="3048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838200" cy="304800"/>
                          </a:xfrm>
                          <a:prstGeom prst="rect">
                            <a:avLst/>
                          </a:prstGeom>
                          <a:ln/>
                        </pic:spPr>
                      </pic:pic>
                    </a:graphicData>
                  </a:graphic>
                </wp:inline>
              </w:drawing>
            </w:r>
          </w:p>
        </w:tc>
      </w:tr>
      <w:tr w:rsidR="00D8424F">
        <w:trPr>
          <w:trHeight w:val="792"/>
        </w:trPr>
        <w:tc>
          <w:tcPr>
            <w:tcW w:w="645" w:type="dxa"/>
            <w:shd w:val="clear" w:color="auto" w:fill="auto"/>
            <w:tcMar>
              <w:top w:w="100" w:type="dxa"/>
              <w:left w:w="100" w:type="dxa"/>
              <w:bottom w:w="100" w:type="dxa"/>
              <w:right w:w="100" w:type="dxa"/>
            </w:tcMar>
          </w:tcPr>
          <w:p w:rsidR="00D8424F" w:rsidRDefault="00207E05">
            <w:pPr>
              <w:widowControl w:val="0"/>
              <w:spacing w:line="240" w:lineRule="auto"/>
              <w:jc w:val="center"/>
            </w:pPr>
            <w:r>
              <w:t>5</w:t>
            </w:r>
          </w:p>
        </w:tc>
        <w:tc>
          <w:tcPr>
            <w:tcW w:w="3810" w:type="dxa"/>
            <w:shd w:val="clear" w:color="auto" w:fill="auto"/>
            <w:tcMar>
              <w:top w:w="100" w:type="dxa"/>
              <w:left w:w="100" w:type="dxa"/>
              <w:bottom w:w="100" w:type="dxa"/>
              <w:right w:w="100" w:type="dxa"/>
            </w:tcMar>
          </w:tcPr>
          <w:p w:rsidR="00D8424F" w:rsidRDefault="00207E05">
            <w:pPr>
              <w:widowControl w:val="0"/>
              <w:spacing w:line="240" w:lineRule="auto"/>
            </w:pPr>
            <w:r>
              <w:t>Appui à la production et à la mise à jour de PCRS</w:t>
            </w:r>
          </w:p>
        </w:tc>
        <w:tc>
          <w:tcPr>
            <w:tcW w:w="1920" w:type="dxa"/>
            <w:shd w:val="clear" w:color="auto" w:fill="CCCCCC"/>
            <w:tcMar>
              <w:top w:w="100" w:type="dxa"/>
              <w:left w:w="100" w:type="dxa"/>
              <w:bottom w:w="100" w:type="dxa"/>
              <w:right w:w="100" w:type="dxa"/>
            </w:tcMar>
          </w:tcPr>
          <w:p w:rsidR="00D8424F" w:rsidRDefault="00207E05">
            <w:pPr>
              <w:widowControl w:val="0"/>
              <w:spacing w:line="240" w:lineRule="auto"/>
              <w:jc w:val="center"/>
              <w:rPr>
                <w:i/>
              </w:rPr>
            </w:pPr>
            <w:r>
              <w:rPr>
                <w:i/>
              </w:rPr>
              <w:t>sans objet</w:t>
            </w:r>
          </w:p>
        </w:tc>
        <w:tc>
          <w:tcPr>
            <w:tcW w:w="1875" w:type="dxa"/>
            <w:shd w:val="clear" w:color="auto" w:fill="auto"/>
            <w:tcMar>
              <w:top w:w="100" w:type="dxa"/>
              <w:left w:w="100" w:type="dxa"/>
              <w:bottom w:w="100" w:type="dxa"/>
              <w:right w:w="100" w:type="dxa"/>
            </w:tcMar>
          </w:tcPr>
          <w:p w:rsidR="00D8424F" w:rsidRDefault="00207E05">
            <w:pPr>
              <w:widowControl w:val="0"/>
              <w:spacing w:line="240" w:lineRule="auto"/>
              <w:jc w:val="center"/>
            </w:pPr>
            <w:r>
              <w:rPr>
                <w:noProof/>
                <w:lang w:val="fr-FR"/>
              </w:rPr>
              <w:drawing>
                <wp:inline distT="114300" distB="114300" distL="114300" distR="114300">
                  <wp:extent cx="838200" cy="381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12595" b="15962"/>
                          <a:stretch>
                            <a:fillRect/>
                          </a:stretch>
                        </pic:blipFill>
                        <pic:spPr>
                          <a:xfrm>
                            <a:off x="0" y="0"/>
                            <a:ext cx="838200" cy="381000"/>
                          </a:xfrm>
                          <a:prstGeom prst="rect">
                            <a:avLst/>
                          </a:prstGeom>
                          <a:ln/>
                        </pic:spPr>
                      </pic:pic>
                    </a:graphicData>
                  </a:graphic>
                </wp:inline>
              </w:drawing>
            </w:r>
          </w:p>
        </w:tc>
      </w:tr>
      <w:tr w:rsidR="00D8424F">
        <w:trPr>
          <w:trHeight w:val="835"/>
        </w:trPr>
        <w:tc>
          <w:tcPr>
            <w:tcW w:w="645" w:type="dxa"/>
            <w:shd w:val="clear" w:color="auto" w:fill="auto"/>
            <w:tcMar>
              <w:top w:w="100" w:type="dxa"/>
              <w:left w:w="100" w:type="dxa"/>
              <w:bottom w:w="100" w:type="dxa"/>
              <w:right w:w="100" w:type="dxa"/>
            </w:tcMar>
          </w:tcPr>
          <w:p w:rsidR="00D8424F" w:rsidRDefault="00207E05">
            <w:pPr>
              <w:widowControl w:val="0"/>
              <w:spacing w:line="240" w:lineRule="auto"/>
              <w:jc w:val="center"/>
            </w:pPr>
            <w:r>
              <w:t>6</w:t>
            </w:r>
          </w:p>
        </w:tc>
        <w:tc>
          <w:tcPr>
            <w:tcW w:w="3810" w:type="dxa"/>
            <w:shd w:val="clear" w:color="auto" w:fill="auto"/>
            <w:tcMar>
              <w:top w:w="100" w:type="dxa"/>
              <w:left w:w="100" w:type="dxa"/>
              <w:bottom w:w="100" w:type="dxa"/>
              <w:right w:w="100" w:type="dxa"/>
            </w:tcMar>
          </w:tcPr>
          <w:p w:rsidR="00D8424F" w:rsidRDefault="00207E05">
            <w:pPr>
              <w:widowControl w:val="0"/>
              <w:spacing w:line="240" w:lineRule="auto"/>
            </w:pPr>
            <w:r>
              <w:t>Réflexion pour la structuration du cadre national de financement</w:t>
            </w:r>
          </w:p>
        </w:tc>
        <w:tc>
          <w:tcPr>
            <w:tcW w:w="1920" w:type="dxa"/>
            <w:shd w:val="clear" w:color="auto" w:fill="auto"/>
            <w:tcMar>
              <w:top w:w="100" w:type="dxa"/>
              <w:left w:w="100" w:type="dxa"/>
              <w:bottom w:w="100" w:type="dxa"/>
              <w:right w:w="100" w:type="dxa"/>
            </w:tcMar>
          </w:tcPr>
          <w:p w:rsidR="00D8424F" w:rsidRDefault="00207E05">
            <w:pPr>
              <w:widowControl w:val="0"/>
              <w:spacing w:line="240" w:lineRule="auto"/>
              <w:jc w:val="center"/>
            </w:pPr>
            <w:r>
              <w:rPr>
                <w:noProof/>
                <w:lang w:val="fr-FR"/>
              </w:rPr>
              <w:drawing>
                <wp:inline distT="19050" distB="19050" distL="19050" distR="19050">
                  <wp:extent cx="895350" cy="33020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895350" cy="330200"/>
                          </a:xfrm>
                          <a:prstGeom prst="rect">
                            <a:avLst/>
                          </a:prstGeom>
                          <a:ln/>
                        </pic:spPr>
                      </pic:pic>
                    </a:graphicData>
                  </a:graphic>
                </wp:inline>
              </w:drawing>
            </w:r>
          </w:p>
        </w:tc>
        <w:tc>
          <w:tcPr>
            <w:tcW w:w="1875" w:type="dxa"/>
            <w:tcMar>
              <w:top w:w="100" w:type="dxa"/>
              <w:left w:w="100" w:type="dxa"/>
              <w:bottom w:w="100" w:type="dxa"/>
              <w:right w:w="100" w:type="dxa"/>
            </w:tcMar>
          </w:tcPr>
          <w:p w:rsidR="00D8424F" w:rsidRDefault="00207E05">
            <w:pPr>
              <w:widowControl w:val="0"/>
              <w:spacing w:line="240" w:lineRule="auto"/>
              <w:jc w:val="center"/>
            </w:pPr>
            <w:r>
              <w:rPr>
                <w:noProof/>
                <w:lang w:val="fr-FR"/>
              </w:rPr>
              <w:drawing>
                <wp:inline distT="19050" distB="19050" distL="19050" distR="19050">
                  <wp:extent cx="838200" cy="304800"/>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838200" cy="304800"/>
                          </a:xfrm>
                          <a:prstGeom prst="rect">
                            <a:avLst/>
                          </a:prstGeom>
                          <a:ln/>
                        </pic:spPr>
                      </pic:pic>
                    </a:graphicData>
                  </a:graphic>
                </wp:inline>
              </w:drawing>
            </w:r>
          </w:p>
        </w:tc>
      </w:tr>
      <w:tr w:rsidR="00D8424F">
        <w:trPr>
          <w:trHeight w:val="835"/>
        </w:trPr>
        <w:tc>
          <w:tcPr>
            <w:tcW w:w="645" w:type="dxa"/>
            <w:shd w:val="clear" w:color="auto" w:fill="auto"/>
            <w:tcMar>
              <w:top w:w="100" w:type="dxa"/>
              <w:left w:w="100" w:type="dxa"/>
              <w:bottom w:w="100" w:type="dxa"/>
              <w:right w:w="100" w:type="dxa"/>
            </w:tcMar>
          </w:tcPr>
          <w:p w:rsidR="00D8424F" w:rsidRDefault="00207E05">
            <w:pPr>
              <w:widowControl w:val="0"/>
              <w:spacing w:line="240" w:lineRule="auto"/>
              <w:jc w:val="center"/>
            </w:pPr>
            <w:r>
              <w:t>7</w:t>
            </w:r>
          </w:p>
        </w:tc>
        <w:tc>
          <w:tcPr>
            <w:tcW w:w="3810" w:type="dxa"/>
            <w:shd w:val="clear" w:color="auto" w:fill="auto"/>
            <w:tcMar>
              <w:top w:w="100" w:type="dxa"/>
              <w:left w:w="100" w:type="dxa"/>
              <w:bottom w:w="100" w:type="dxa"/>
              <w:right w:w="100" w:type="dxa"/>
            </w:tcMar>
          </w:tcPr>
          <w:p w:rsidR="00D8424F" w:rsidRDefault="00207E05">
            <w:pPr>
              <w:widowControl w:val="0"/>
              <w:spacing w:line="240" w:lineRule="auto"/>
            </w:pPr>
            <w:r>
              <w:t>Agrégation et diffusion nationale des flux</w:t>
            </w:r>
          </w:p>
        </w:tc>
        <w:tc>
          <w:tcPr>
            <w:tcW w:w="1920" w:type="dxa"/>
            <w:shd w:val="clear" w:color="auto" w:fill="auto"/>
            <w:tcMar>
              <w:top w:w="100" w:type="dxa"/>
              <w:left w:w="100" w:type="dxa"/>
              <w:bottom w:w="100" w:type="dxa"/>
              <w:right w:w="100" w:type="dxa"/>
            </w:tcMar>
          </w:tcPr>
          <w:p w:rsidR="00D8424F" w:rsidRDefault="00207E05">
            <w:pPr>
              <w:widowControl w:val="0"/>
              <w:spacing w:line="240" w:lineRule="auto"/>
              <w:jc w:val="center"/>
            </w:pPr>
            <w:r>
              <w:rPr>
                <w:noProof/>
                <w:lang w:val="fr-FR"/>
              </w:rPr>
              <w:drawing>
                <wp:inline distT="114300" distB="114300" distL="114300" distR="114300">
                  <wp:extent cx="895350" cy="40640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12595" b="15962"/>
                          <a:stretch>
                            <a:fillRect/>
                          </a:stretch>
                        </pic:blipFill>
                        <pic:spPr>
                          <a:xfrm>
                            <a:off x="0" y="0"/>
                            <a:ext cx="895350" cy="406400"/>
                          </a:xfrm>
                          <a:prstGeom prst="rect">
                            <a:avLst/>
                          </a:prstGeom>
                          <a:ln/>
                        </pic:spPr>
                      </pic:pic>
                    </a:graphicData>
                  </a:graphic>
                </wp:inline>
              </w:drawing>
            </w:r>
          </w:p>
        </w:tc>
        <w:tc>
          <w:tcPr>
            <w:tcW w:w="1875" w:type="dxa"/>
            <w:shd w:val="clear" w:color="auto" w:fill="CCCCCC"/>
            <w:tcMar>
              <w:top w:w="100" w:type="dxa"/>
              <w:left w:w="100" w:type="dxa"/>
              <w:bottom w:w="100" w:type="dxa"/>
              <w:right w:w="100" w:type="dxa"/>
            </w:tcMar>
          </w:tcPr>
          <w:p w:rsidR="00D8424F" w:rsidRDefault="00207E05">
            <w:pPr>
              <w:widowControl w:val="0"/>
              <w:spacing w:line="240" w:lineRule="auto"/>
              <w:jc w:val="center"/>
              <w:rPr>
                <w:i/>
              </w:rPr>
            </w:pPr>
            <w:r>
              <w:rPr>
                <w:i/>
              </w:rPr>
              <w:t>sans objet</w:t>
            </w:r>
          </w:p>
        </w:tc>
      </w:tr>
      <w:tr w:rsidR="00D8424F">
        <w:trPr>
          <w:trHeight w:val="835"/>
        </w:trPr>
        <w:tc>
          <w:tcPr>
            <w:tcW w:w="645" w:type="dxa"/>
            <w:shd w:val="clear" w:color="auto" w:fill="auto"/>
            <w:tcMar>
              <w:top w:w="100" w:type="dxa"/>
              <w:left w:w="100" w:type="dxa"/>
              <w:bottom w:w="100" w:type="dxa"/>
              <w:right w:w="100" w:type="dxa"/>
            </w:tcMar>
          </w:tcPr>
          <w:p w:rsidR="00D8424F" w:rsidRDefault="00207E05">
            <w:pPr>
              <w:widowControl w:val="0"/>
              <w:spacing w:line="240" w:lineRule="auto"/>
              <w:jc w:val="center"/>
            </w:pPr>
            <w:r>
              <w:t>8</w:t>
            </w:r>
          </w:p>
        </w:tc>
        <w:tc>
          <w:tcPr>
            <w:tcW w:w="3810" w:type="dxa"/>
            <w:shd w:val="clear" w:color="auto" w:fill="auto"/>
            <w:tcMar>
              <w:top w:w="100" w:type="dxa"/>
              <w:left w:w="100" w:type="dxa"/>
              <w:bottom w:w="100" w:type="dxa"/>
              <w:right w:w="100" w:type="dxa"/>
            </w:tcMar>
          </w:tcPr>
          <w:p w:rsidR="00D8424F" w:rsidRDefault="00207E05">
            <w:pPr>
              <w:widowControl w:val="0"/>
              <w:spacing w:line="240" w:lineRule="auto"/>
            </w:pPr>
            <w:r>
              <w:t>Contributions techniques publication / outillage de gestion</w:t>
            </w:r>
          </w:p>
        </w:tc>
        <w:tc>
          <w:tcPr>
            <w:tcW w:w="1920" w:type="dxa"/>
            <w:shd w:val="clear" w:color="auto" w:fill="auto"/>
            <w:tcMar>
              <w:top w:w="100" w:type="dxa"/>
              <w:left w:w="100" w:type="dxa"/>
              <w:bottom w:w="100" w:type="dxa"/>
              <w:right w:w="100" w:type="dxa"/>
            </w:tcMar>
          </w:tcPr>
          <w:p w:rsidR="00D8424F" w:rsidRDefault="00207E05">
            <w:pPr>
              <w:widowControl w:val="0"/>
              <w:spacing w:line="240" w:lineRule="auto"/>
              <w:jc w:val="center"/>
            </w:pPr>
            <w:r>
              <w:rPr>
                <w:noProof/>
                <w:lang w:val="fr-FR"/>
              </w:rPr>
              <w:drawing>
                <wp:inline distT="19050" distB="19050" distL="19050" distR="19050">
                  <wp:extent cx="895350" cy="33020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895350" cy="330200"/>
                          </a:xfrm>
                          <a:prstGeom prst="rect">
                            <a:avLst/>
                          </a:prstGeom>
                          <a:ln/>
                        </pic:spPr>
                      </pic:pic>
                    </a:graphicData>
                  </a:graphic>
                </wp:inline>
              </w:drawing>
            </w:r>
          </w:p>
        </w:tc>
        <w:tc>
          <w:tcPr>
            <w:tcW w:w="1875" w:type="dxa"/>
            <w:shd w:val="clear" w:color="auto" w:fill="CCCCCC"/>
            <w:tcMar>
              <w:top w:w="100" w:type="dxa"/>
              <w:left w:w="100" w:type="dxa"/>
              <w:bottom w:w="100" w:type="dxa"/>
              <w:right w:w="100" w:type="dxa"/>
            </w:tcMar>
          </w:tcPr>
          <w:p w:rsidR="00D8424F" w:rsidRDefault="00207E05">
            <w:pPr>
              <w:widowControl w:val="0"/>
              <w:spacing w:line="240" w:lineRule="auto"/>
              <w:jc w:val="center"/>
              <w:rPr>
                <w:i/>
              </w:rPr>
            </w:pPr>
            <w:r>
              <w:rPr>
                <w:i/>
              </w:rPr>
              <w:t>sans objet</w:t>
            </w:r>
          </w:p>
        </w:tc>
      </w:tr>
    </w:tbl>
    <w:p w:rsidR="00D8424F" w:rsidRDefault="00D8424F"/>
    <w:p w:rsidR="00D8424F" w:rsidRDefault="00D8424F">
      <w:pPr>
        <w:spacing w:before="240" w:after="240"/>
        <w:jc w:val="both"/>
      </w:pPr>
    </w:p>
    <w:p w:rsidR="00D8424F" w:rsidRDefault="00207E05">
      <w:pPr>
        <w:pStyle w:val="Titre2"/>
        <w:spacing w:before="240" w:after="240"/>
        <w:jc w:val="both"/>
      </w:pPr>
      <w:bookmarkStart w:id="2" w:name="_cj3jd65upn9" w:colFirst="0" w:colLast="0"/>
      <w:bookmarkEnd w:id="2"/>
      <w:r>
        <w:t>Détail des actions entreprises</w:t>
      </w:r>
    </w:p>
    <w:p w:rsidR="00D8424F" w:rsidRDefault="00207E05">
      <w:pPr>
        <w:pStyle w:val="Titre3"/>
        <w:jc w:val="both"/>
      </w:pPr>
      <w:bookmarkStart w:id="3" w:name="_9kgzrcj0sryb" w:colFirst="0" w:colLast="0"/>
      <w:bookmarkEnd w:id="3"/>
      <w:r>
        <w:t xml:space="preserve">#1 </w:t>
      </w:r>
      <w:r>
        <w:rPr>
          <w:color w:val="000000"/>
          <w:sz w:val="22"/>
          <w:szCs w:val="22"/>
        </w:rPr>
        <w:t>Appui documentaire et réglementaire à destination des porteurs de projets</w:t>
      </w:r>
    </w:p>
    <w:p w:rsidR="00D8424F" w:rsidRDefault="00207E05">
      <w:pPr>
        <w:ind w:left="1080" w:hanging="360"/>
        <w:jc w:val="both"/>
        <w:rPr>
          <w:u w:val="single"/>
        </w:rPr>
      </w:pPr>
      <w:r>
        <w:rPr>
          <w:sz w:val="20"/>
          <w:szCs w:val="20"/>
        </w:rPr>
        <w:t>·</w:t>
      </w:r>
      <w:r>
        <w:rPr>
          <w:rFonts w:ascii="Times New Roman" w:eastAsia="Times New Roman" w:hAnsi="Times New Roman" w:cs="Times New Roman"/>
          <w:sz w:val="14"/>
          <w:szCs w:val="14"/>
        </w:rPr>
        <w:t xml:space="preserve">         </w:t>
      </w:r>
      <w:r>
        <w:rPr>
          <w:u w:val="single"/>
        </w:rPr>
        <w:t>Echelle nationale</w:t>
      </w:r>
    </w:p>
    <w:p w:rsidR="00D8424F" w:rsidRDefault="00207E05">
      <w:pPr>
        <w:ind w:left="720"/>
        <w:jc w:val="both"/>
      </w:pPr>
      <w:r>
        <w:t xml:space="preserve">L’ANCT a entrepris de consolider les ressources documentaires (documents, fiches pratiques, comptes rendus, références aux textes légaux) dans </w:t>
      </w:r>
      <w:hyperlink r:id="rId9">
        <w:r>
          <w:rPr>
            <w:color w:val="1155CC"/>
            <w:u w:val="single"/>
          </w:rPr>
          <w:t>un ensemble cohérent</w:t>
        </w:r>
      </w:hyperlink>
      <w:r>
        <w:t>. Il est destiné aux porteurs de projets et à tout acteur souhaitant utiliser le PCRS.</w:t>
      </w:r>
    </w:p>
    <w:p w:rsidR="00D8424F" w:rsidRDefault="00D8424F">
      <w:pPr>
        <w:ind w:left="720"/>
        <w:jc w:val="both"/>
      </w:pPr>
    </w:p>
    <w:p w:rsidR="00D8424F" w:rsidRDefault="00207E05">
      <w:pPr>
        <w:ind w:left="708"/>
        <w:jc w:val="both"/>
      </w:pPr>
      <w:r>
        <w:t>L’ANCT accompagne les porteurs de projets locaux et consolide les retours d’expérience de leur mise</w:t>
      </w:r>
      <w:r>
        <w:t xml:space="preserve"> en œuvre. Ces éléments permettent de relayer </w:t>
      </w:r>
      <w:hyperlink r:id="rId10">
        <w:r>
          <w:rPr>
            <w:color w:val="1155CC"/>
            <w:u w:val="single"/>
          </w:rPr>
          <w:t>des questionnements</w:t>
        </w:r>
      </w:hyperlink>
      <w:r>
        <w:t xml:space="preserve"> sur la réglementation existante et de proposer des évolutions.</w:t>
      </w:r>
    </w:p>
    <w:p w:rsidR="00D8424F" w:rsidRDefault="00D8424F">
      <w:pPr>
        <w:ind w:left="360" w:firstLine="360"/>
        <w:jc w:val="both"/>
      </w:pPr>
    </w:p>
    <w:p w:rsidR="00D8424F" w:rsidRDefault="00207E05">
      <w:pPr>
        <w:ind w:left="1080" w:hanging="360"/>
        <w:jc w:val="both"/>
        <w:rPr>
          <w:u w:val="single"/>
        </w:rPr>
      </w:pPr>
      <w:r>
        <w:rPr>
          <w:sz w:val="20"/>
          <w:szCs w:val="20"/>
        </w:rPr>
        <w:t>·</w:t>
      </w:r>
      <w:r>
        <w:rPr>
          <w:rFonts w:ascii="Times New Roman" w:eastAsia="Times New Roman" w:hAnsi="Times New Roman" w:cs="Times New Roman"/>
          <w:sz w:val="14"/>
          <w:szCs w:val="14"/>
        </w:rPr>
        <w:t xml:space="preserve">         </w:t>
      </w:r>
      <w:r>
        <w:rPr>
          <w:u w:val="single"/>
        </w:rPr>
        <w:t>Projet loca</w:t>
      </w:r>
      <w:r>
        <w:rPr>
          <w:u w:val="single"/>
        </w:rPr>
        <w:t>l</w:t>
      </w:r>
    </w:p>
    <w:p w:rsidR="00D8424F" w:rsidRDefault="00207E05">
      <w:pPr>
        <w:ind w:left="708" w:firstLine="60"/>
        <w:jc w:val="both"/>
      </w:pPr>
      <w:r>
        <w:t>L’ANCT et l’IGN, avec leurs moyens et réseaux différents, prennent en charge et répondent aux questionnements quotidiens des porteurs de projets qui les sollicitent dans le contexte de leur projet local.</w:t>
      </w:r>
    </w:p>
    <w:p w:rsidR="00D8424F" w:rsidRDefault="00207E05">
      <w:pPr>
        <w:ind w:left="708" w:firstLine="60"/>
        <w:jc w:val="both"/>
      </w:pPr>
      <w:r>
        <w:t>Ils participent tous les deux à l’accompagnement p</w:t>
      </w:r>
      <w:r>
        <w:t>our la compréhension de la réglementation touchant le PCRS, dont les échéances et les acteurs concernés.</w:t>
      </w:r>
    </w:p>
    <w:p w:rsidR="00D8424F" w:rsidRDefault="00207E05">
      <w:pPr>
        <w:pStyle w:val="Titre3"/>
        <w:jc w:val="both"/>
      </w:pPr>
      <w:bookmarkStart w:id="4" w:name="_6soeol8axl8x" w:colFirst="0" w:colLast="0"/>
      <w:bookmarkEnd w:id="4"/>
      <w:r>
        <w:t>#2 Appui technique et partage d’expertise</w:t>
      </w:r>
    </w:p>
    <w:p w:rsidR="00D8424F" w:rsidRDefault="00207E05">
      <w:pPr>
        <w:ind w:left="1080" w:hanging="360"/>
        <w:jc w:val="both"/>
        <w:rPr>
          <w:u w:val="single"/>
        </w:rPr>
      </w:pPr>
      <w:r>
        <w:rPr>
          <w:sz w:val="20"/>
          <w:szCs w:val="20"/>
        </w:rPr>
        <w:t>·</w:t>
      </w:r>
      <w:r>
        <w:rPr>
          <w:rFonts w:ascii="Times New Roman" w:eastAsia="Times New Roman" w:hAnsi="Times New Roman" w:cs="Times New Roman"/>
          <w:sz w:val="14"/>
          <w:szCs w:val="14"/>
        </w:rPr>
        <w:t xml:space="preserve">         </w:t>
      </w:r>
      <w:r>
        <w:rPr>
          <w:u w:val="single"/>
        </w:rPr>
        <w:t>Echelle nationale</w:t>
      </w:r>
    </w:p>
    <w:p w:rsidR="00D8424F" w:rsidRDefault="00207E05">
      <w:pPr>
        <w:ind w:left="708"/>
        <w:jc w:val="both"/>
      </w:pPr>
      <w:r>
        <w:t>Sous l’égide du</w:t>
      </w:r>
      <w:hyperlink r:id="rId11">
        <w:r>
          <w:t xml:space="preserve"> </w:t>
        </w:r>
      </w:hyperlink>
      <w:hyperlink r:id="rId12">
        <w:r>
          <w:rPr>
            <w:color w:val="1155CC"/>
            <w:u w:val="single"/>
          </w:rPr>
          <w:t>CNIG</w:t>
        </w:r>
      </w:hyperlink>
      <w:r>
        <w:t>, l’IGN a participé à la définition des spécifications et contribue à la rédaction de</w:t>
      </w:r>
      <w:hyperlink r:id="rId13">
        <w:r>
          <w:t xml:space="preserve"> </w:t>
        </w:r>
      </w:hyperlink>
      <w:hyperlink r:id="rId14">
        <w:r>
          <w:rPr>
            <w:color w:val="1155CC"/>
            <w:u w:val="single"/>
          </w:rPr>
          <w:t>fiches de recommandations</w:t>
        </w:r>
      </w:hyperlink>
      <w:r>
        <w:t>. L’IGN produit également une partie substantielle du PCRS raster. Lorsqu’il fait appel à ses sous-traitants, cela int</w:t>
      </w:r>
      <w:r>
        <w:t xml:space="preserve">roduit </w:t>
      </w:r>
      <w:r>
        <w:rPr>
          <w:i/>
        </w:rPr>
        <w:t>de facto</w:t>
      </w:r>
      <w:r>
        <w:t xml:space="preserve"> une harmonisation des méthodes de production et de contrôle en métropole. L’IGN maintient également une page dédiée sur son site</w:t>
      </w:r>
      <w:hyperlink r:id="rId15">
        <w:r>
          <w:t xml:space="preserve"> </w:t>
        </w:r>
      </w:hyperlink>
      <w:hyperlink r:id="rId16">
        <w:r>
          <w:rPr>
            <w:color w:val="1155CC"/>
            <w:u w:val="single"/>
          </w:rPr>
          <w:t>Géoservic</w:t>
        </w:r>
        <w:r>
          <w:rPr>
            <w:color w:val="1155CC"/>
            <w:u w:val="single"/>
          </w:rPr>
          <w:t>es</w:t>
        </w:r>
      </w:hyperlink>
      <w:r>
        <w:t>.</w:t>
      </w:r>
    </w:p>
    <w:p w:rsidR="00D8424F" w:rsidRDefault="00207E05">
      <w:pPr>
        <w:ind w:left="1080" w:hanging="360"/>
        <w:jc w:val="both"/>
        <w:rPr>
          <w:u w:val="single"/>
        </w:rPr>
      </w:pPr>
      <w:r>
        <w:rPr>
          <w:sz w:val="20"/>
          <w:szCs w:val="20"/>
        </w:rPr>
        <w:t>·</w:t>
      </w:r>
      <w:r>
        <w:rPr>
          <w:rFonts w:ascii="Times New Roman" w:eastAsia="Times New Roman" w:hAnsi="Times New Roman" w:cs="Times New Roman"/>
          <w:sz w:val="14"/>
          <w:szCs w:val="14"/>
        </w:rPr>
        <w:t xml:space="preserve">         </w:t>
      </w:r>
      <w:r>
        <w:rPr>
          <w:u w:val="single"/>
        </w:rPr>
        <w:t>Projet local</w:t>
      </w:r>
    </w:p>
    <w:p w:rsidR="00D8424F" w:rsidRDefault="00207E05">
      <w:pPr>
        <w:ind w:left="708"/>
        <w:jc w:val="both"/>
      </w:pPr>
      <w:r>
        <w:t xml:space="preserve">Les </w:t>
      </w:r>
      <w:hyperlink r:id="rId17">
        <w:r>
          <w:rPr>
            <w:color w:val="1155CC"/>
            <w:u w:val="single"/>
          </w:rPr>
          <w:t>délégués régionaux</w:t>
        </w:r>
      </w:hyperlink>
      <w:r>
        <w:t xml:space="preserve"> de l’IGN servent d’intermédiaire avec les services de production de l’institut. Si s</w:t>
      </w:r>
      <w:r>
        <w:t xml:space="preserve">ollicités, ils organisent les premières réunions techniques d’information. </w:t>
      </w:r>
    </w:p>
    <w:p w:rsidR="00D8424F" w:rsidRDefault="00207E05">
      <w:pPr>
        <w:pStyle w:val="Titre3"/>
        <w:jc w:val="both"/>
      </w:pPr>
      <w:bookmarkStart w:id="5" w:name="_gw6itsfxqzmm" w:colFirst="0" w:colLast="0"/>
      <w:bookmarkEnd w:id="5"/>
      <w:r>
        <w:t xml:space="preserve">#3 </w:t>
      </w:r>
      <w:r>
        <w:rPr>
          <w:color w:val="000000"/>
          <w:sz w:val="22"/>
          <w:szCs w:val="22"/>
        </w:rPr>
        <w:t>Appui administratif et financier</w:t>
      </w:r>
    </w:p>
    <w:p w:rsidR="00D8424F" w:rsidRDefault="00207E05">
      <w:pPr>
        <w:ind w:left="1080" w:hanging="360"/>
        <w:jc w:val="both"/>
        <w:rPr>
          <w:u w:val="single"/>
        </w:rPr>
      </w:pPr>
      <w:r>
        <w:rPr>
          <w:sz w:val="20"/>
          <w:szCs w:val="20"/>
        </w:rPr>
        <w:t>·</w:t>
      </w:r>
      <w:r>
        <w:rPr>
          <w:rFonts w:ascii="Times New Roman" w:eastAsia="Times New Roman" w:hAnsi="Times New Roman" w:cs="Times New Roman"/>
          <w:sz w:val="14"/>
          <w:szCs w:val="14"/>
        </w:rPr>
        <w:t xml:space="preserve">         </w:t>
      </w:r>
      <w:r>
        <w:rPr>
          <w:u w:val="single"/>
        </w:rPr>
        <w:t>Echelle nationale</w:t>
      </w:r>
    </w:p>
    <w:p w:rsidR="00D8424F" w:rsidRDefault="00207E05">
      <w:pPr>
        <w:ind w:left="720"/>
        <w:jc w:val="both"/>
      </w:pPr>
      <w:r>
        <w:t>Il n’existe pas ou peu d’appui national pour l’obtention de subvention et l’examen de l’adéquation des différentes possibilités. Les animateurs régionaux font par ailleurs une part importante de ce travail pour leurs membres. Il sera possible d’élever cett</w:t>
      </w:r>
      <w:r>
        <w:t>e problématique au niveau national lorsque le besoin s’en fera sentir.</w:t>
      </w:r>
    </w:p>
    <w:p w:rsidR="00D8424F" w:rsidRDefault="00207E05">
      <w:pPr>
        <w:ind w:left="1080" w:hanging="360"/>
        <w:jc w:val="both"/>
        <w:rPr>
          <w:u w:val="single"/>
        </w:rPr>
      </w:pPr>
      <w:r>
        <w:rPr>
          <w:sz w:val="20"/>
          <w:szCs w:val="20"/>
        </w:rPr>
        <w:t>·</w:t>
      </w:r>
      <w:r>
        <w:rPr>
          <w:rFonts w:ascii="Times New Roman" w:eastAsia="Times New Roman" w:hAnsi="Times New Roman" w:cs="Times New Roman"/>
          <w:sz w:val="14"/>
          <w:szCs w:val="14"/>
        </w:rPr>
        <w:t xml:space="preserve">         </w:t>
      </w:r>
      <w:r>
        <w:rPr>
          <w:u w:val="single"/>
        </w:rPr>
        <w:t>Projet local</w:t>
      </w:r>
    </w:p>
    <w:p w:rsidR="00D8424F" w:rsidRDefault="00207E05">
      <w:pPr>
        <w:ind w:left="708"/>
        <w:jc w:val="both"/>
      </w:pPr>
      <w:r>
        <w:t>Par le biais de son réseau de délégués régionaux, l’IGN informe les acteurs locaux des aspects réglementaires et, si sollicités, les aide à réaliser leur PCRS ras</w:t>
      </w:r>
      <w:r>
        <w:t>ter (conventionnement, aide au montage de dossier de demande de subvention</w:t>
      </w:r>
      <w:hyperlink r:id="rId18">
        <w:r>
          <w:t xml:space="preserve"> </w:t>
        </w:r>
      </w:hyperlink>
      <w:hyperlink r:id="rId19">
        <w:r>
          <w:rPr>
            <w:color w:val="1155CC"/>
            <w:u w:val="single"/>
          </w:rPr>
          <w:t>Feder</w:t>
        </w:r>
      </w:hyperlink>
      <w:r>
        <w:t xml:space="preserve">…). </w:t>
      </w:r>
    </w:p>
    <w:p w:rsidR="00D8424F" w:rsidRDefault="00207E05">
      <w:pPr>
        <w:pStyle w:val="Titre3"/>
        <w:jc w:val="both"/>
      </w:pPr>
      <w:bookmarkStart w:id="6" w:name="_xkmxyez1mgpm" w:colFirst="0" w:colLast="0"/>
      <w:bookmarkEnd w:id="6"/>
      <w:r>
        <w:lastRenderedPageBreak/>
        <w:t>#4 Suivi (dév./expl</w:t>
      </w:r>
      <w:r>
        <w:t>oitation) de l’état d’avancement des productions</w:t>
      </w:r>
    </w:p>
    <w:p w:rsidR="00D8424F" w:rsidRDefault="00207E05">
      <w:pPr>
        <w:ind w:left="1080" w:hanging="360"/>
        <w:jc w:val="both"/>
        <w:rPr>
          <w:u w:val="single"/>
        </w:rPr>
      </w:pPr>
      <w:r>
        <w:rPr>
          <w:sz w:val="20"/>
          <w:szCs w:val="20"/>
        </w:rPr>
        <w:t>·</w:t>
      </w:r>
      <w:r>
        <w:rPr>
          <w:rFonts w:ascii="Times New Roman" w:eastAsia="Times New Roman" w:hAnsi="Times New Roman" w:cs="Times New Roman"/>
          <w:sz w:val="14"/>
          <w:szCs w:val="14"/>
        </w:rPr>
        <w:t xml:space="preserve">         </w:t>
      </w:r>
      <w:r>
        <w:rPr>
          <w:u w:val="single"/>
        </w:rPr>
        <w:t>Echelle nationale</w:t>
      </w:r>
    </w:p>
    <w:p w:rsidR="00D8424F" w:rsidRDefault="00207E05">
      <w:pPr>
        <w:ind w:left="720"/>
        <w:jc w:val="both"/>
      </w:pPr>
      <w:r>
        <w:t xml:space="preserve">L’ANCT a entrepris de définir la modélisation, les outils et </w:t>
      </w:r>
      <w:hyperlink r:id="rId20">
        <w:r>
          <w:rPr>
            <w:color w:val="1155CC"/>
            <w:u w:val="single"/>
          </w:rPr>
          <w:t>la démarche collaborative</w:t>
        </w:r>
      </w:hyperlink>
      <w:r>
        <w:t xml:space="preserve"> de suivi des pr</w:t>
      </w:r>
      <w:r>
        <w:t xml:space="preserve">ojets PCRS pour en constituer la cartographie exhaustive. Elle exploite aujourd’hui la plateforme qui recueille les contributions des porteurs de projet. </w:t>
      </w:r>
      <w:hyperlink r:id="rId21">
        <w:r>
          <w:rPr>
            <w:color w:val="1155CC"/>
            <w:u w:val="single"/>
          </w:rPr>
          <w:t>Le code</w:t>
        </w:r>
      </w:hyperlink>
      <w:r>
        <w:t xml:space="preserve"> est ouvert et disponible en l</w:t>
      </w:r>
      <w:r>
        <w:t>igne</w:t>
      </w:r>
    </w:p>
    <w:p w:rsidR="00D8424F" w:rsidRDefault="00207E05">
      <w:pPr>
        <w:ind w:left="1080" w:hanging="360"/>
        <w:jc w:val="both"/>
        <w:rPr>
          <w:u w:val="single"/>
        </w:rPr>
      </w:pPr>
      <w:r>
        <w:rPr>
          <w:sz w:val="20"/>
          <w:szCs w:val="20"/>
        </w:rPr>
        <w:t>·</w:t>
      </w:r>
      <w:r>
        <w:rPr>
          <w:rFonts w:ascii="Times New Roman" w:eastAsia="Times New Roman" w:hAnsi="Times New Roman" w:cs="Times New Roman"/>
          <w:sz w:val="14"/>
          <w:szCs w:val="14"/>
        </w:rPr>
        <w:t xml:space="preserve">         </w:t>
      </w:r>
      <w:r>
        <w:rPr>
          <w:u w:val="single"/>
        </w:rPr>
        <w:t>Projet local</w:t>
      </w:r>
    </w:p>
    <w:p w:rsidR="00D8424F" w:rsidRDefault="00207E05">
      <w:pPr>
        <w:ind w:left="720"/>
        <w:jc w:val="both"/>
      </w:pPr>
      <w:r>
        <w:t>L’ANCT accompagne et rencontre l’ensemble des porteurs de projet pour s’assurer de la prise en main des outils de suivi et garantir l’accès aux agents responsables d’en assurer la complétude.</w:t>
      </w:r>
    </w:p>
    <w:p w:rsidR="00D8424F" w:rsidRDefault="00207E05">
      <w:pPr>
        <w:pStyle w:val="Titre3"/>
        <w:jc w:val="both"/>
      </w:pPr>
      <w:bookmarkStart w:id="7" w:name="_lmt9pv3xe5jk" w:colFirst="0" w:colLast="0"/>
      <w:bookmarkEnd w:id="7"/>
      <w:r>
        <w:t>#5 Appui à la production et à la mise à jour de PCRS</w:t>
      </w:r>
    </w:p>
    <w:p w:rsidR="00D8424F" w:rsidRDefault="00207E05">
      <w:pPr>
        <w:ind w:left="1080" w:hanging="360"/>
        <w:jc w:val="both"/>
        <w:rPr>
          <w:u w:val="single"/>
        </w:rPr>
      </w:pPr>
      <w:r>
        <w:rPr>
          <w:sz w:val="20"/>
          <w:szCs w:val="20"/>
        </w:rPr>
        <w:t>·</w:t>
      </w:r>
      <w:r>
        <w:rPr>
          <w:rFonts w:ascii="Times New Roman" w:eastAsia="Times New Roman" w:hAnsi="Times New Roman" w:cs="Times New Roman"/>
          <w:sz w:val="14"/>
          <w:szCs w:val="14"/>
        </w:rPr>
        <w:t xml:space="preserve">         </w:t>
      </w:r>
      <w:r>
        <w:rPr>
          <w:u w:val="single"/>
        </w:rPr>
        <w:t>Projet local</w:t>
      </w:r>
    </w:p>
    <w:p w:rsidR="00D8424F" w:rsidRDefault="00207E05">
      <w:pPr>
        <w:ind w:left="708"/>
        <w:jc w:val="both"/>
      </w:pPr>
      <w:r>
        <w:t>L’IGN accompagne les autorités publiques locales compétentes dans la production du PCRS raster en saisie initiale ou en mise à jour. Il peut en résulter, entre autres:</w:t>
      </w:r>
    </w:p>
    <w:p w:rsidR="00D8424F" w:rsidRDefault="00207E05">
      <w:pPr>
        <w:numPr>
          <w:ilvl w:val="0"/>
          <w:numId w:val="1"/>
        </w:numPr>
        <w:jc w:val="both"/>
      </w:pPr>
      <w:r>
        <w:t>une producti</w:t>
      </w:r>
      <w:r>
        <w:t xml:space="preserve">on en propre par l’IGN ou via l’accord cadre géré par l’IGN qui permet de solliciter rapidement des opérateurs. </w:t>
      </w:r>
    </w:p>
    <w:p w:rsidR="00D8424F" w:rsidRDefault="00207E05">
      <w:pPr>
        <w:numPr>
          <w:ilvl w:val="0"/>
          <w:numId w:val="1"/>
        </w:numPr>
        <w:jc w:val="both"/>
      </w:pPr>
      <w:r>
        <w:t xml:space="preserve">la mise en place d’outils (par exemple outils collaboratifs pour l’identification et la qualification des changements). </w:t>
      </w:r>
    </w:p>
    <w:p w:rsidR="00D8424F" w:rsidRDefault="00207E05">
      <w:pPr>
        <w:numPr>
          <w:ilvl w:val="0"/>
          <w:numId w:val="1"/>
        </w:numPr>
        <w:jc w:val="both"/>
      </w:pPr>
      <w:r>
        <w:t>l’accompagnement du ou</w:t>
      </w:r>
      <w:r>
        <w:t xml:space="preserve"> des porteur(s) de projet tout au long du processus dont les contrôles.</w:t>
      </w:r>
    </w:p>
    <w:p w:rsidR="00D8424F" w:rsidRDefault="00207E05">
      <w:pPr>
        <w:pStyle w:val="Titre3"/>
        <w:jc w:val="both"/>
      </w:pPr>
      <w:bookmarkStart w:id="8" w:name="_s2m15b5c1n64" w:colFirst="0" w:colLast="0"/>
      <w:bookmarkEnd w:id="8"/>
      <w:r>
        <w:t>#6 Réflexion pour la structuration du cadre national de financement</w:t>
      </w:r>
    </w:p>
    <w:p w:rsidR="00D8424F" w:rsidRDefault="00207E05">
      <w:pPr>
        <w:ind w:left="1080" w:hanging="360"/>
        <w:jc w:val="both"/>
        <w:rPr>
          <w:u w:val="single"/>
        </w:rPr>
      </w:pPr>
      <w:r>
        <w:rPr>
          <w:sz w:val="20"/>
          <w:szCs w:val="20"/>
        </w:rPr>
        <w:t>·</w:t>
      </w:r>
      <w:r>
        <w:rPr>
          <w:rFonts w:ascii="Times New Roman" w:eastAsia="Times New Roman" w:hAnsi="Times New Roman" w:cs="Times New Roman"/>
          <w:sz w:val="14"/>
          <w:szCs w:val="14"/>
        </w:rPr>
        <w:t xml:space="preserve">         </w:t>
      </w:r>
      <w:r>
        <w:rPr>
          <w:u w:val="single"/>
        </w:rPr>
        <w:t>Echelle nationale</w:t>
      </w:r>
    </w:p>
    <w:p w:rsidR="00D8424F" w:rsidRDefault="00207E05">
      <w:pPr>
        <w:ind w:left="720"/>
        <w:jc w:val="both"/>
      </w:pPr>
      <w:r>
        <w:t xml:space="preserve">L’ANCT a évalué puis proposé plusieurs scénarios de construction d’un moyen de collecte </w:t>
      </w:r>
      <w:r>
        <w:t>national des financements des utilisateurs réglementaires du PCRS. Elle contribue avec de nombreux autres acteurs aux réflexions du CNIG sur la question</w:t>
      </w:r>
    </w:p>
    <w:p w:rsidR="00D8424F" w:rsidRDefault="00207E05">
      <w:pPr>
        <w:ind w:left="1080" w:hanging="360"/>
        <w:jc w:val="both"/>
        <w:rPr>
          <w:u w:val="single"/>
        </w:rPr>
      </w:pPr>
      <w:r>
        <w:rPr>
          <w:sz w:val="20"/>
          <w:szCs w:val="20"/>
        </w:rPr>
        <w:t>·</w:t>
      </w:r>
      <w:r>
        <w:rPr>
          <w:rFonts w:ascii="Times New Roman" w:eastAsia="Times New Roman" w:hAnsi="Times New Roman" w:cs="Times New Roman"/>
          <w:sz w:val="14"/>
          <w:szCs w:val="14"/>
        </w:rPr>
        <w:t xml:space="preserve">         </w:t>
      </w:r>
      <w:r>
        <w:rPr>
          <w:u w:val="single"/>
        </w:rPr>
        <w:t>Projet local</w:t>
      </w:r>
    </w:p>
    <w:p w:rsidR="00D8424F" w:rsidRDefault="00207E05">
      <w:pPr>
        <w:ind w:left="720"/>
        <w:jc w:val="both"/>
      </w:pPr>
      <w:r>
        <w:t>L’ANCT conseille également les porteurs de projets dans les changements à prévoi</w:t>
      </w:r>
      <w:r>
        <w:t>r (pas forcément actuellement) dans leur modèle de financement en fonction des orientations en cours d’élaboration. C’est l’occasion d’identifier différents modes de rétribution adverses tels que les contrats de licence qu’il faudra résilier et éventuellem</w:t>
      </w:r>
      <w:r>
        <w:t>ent intégrer dans les contributions nationales.</w:t>
      </w:r>
    </w:p>
    <w:p w:rsidR="00D8424F" w:rsidRDefault="00207E05">
      <w:pPr>
        <w:pStyle w:val="Titre3"/>
        <w:jc w:val="both"/>
      </w:pPr>
      <w:bookmarkStart w:id="9" w:name="_c007wtr86tgr" w:colFirst="0" w:colLast="0"/>
      <w:bookmarkEnd w:id="9"/>
      <w:r>
        <w:t>#7 Agrégation et diffusion nationale des flux</w:t>
      </w:r>
    </w:p>
    <w:p w:rsidR="00D8424F" w:rsidRDefault="00207E05">
      <w:pPr>
        <w:ind w:left="1080" w:hanging="360"/>
        <w:jc w:val="both"/>
        <w:rPr>
          <w:u w:val="single"/>
        </w:rPr>
      </w:pPr>
      <w:r>
        <w:rPr>
          <w:sz w:val="20"/>
          <w:szCs w:val="20"/>
        </w:rPr>
        <w:t>·</w:t>
      </w:r>
      <w:r>
        <w:rPr>
          <w:rFonts w:ascii="Times New Roman" w:eastAsia="Times New Roman" w:hAnsi="Times New Roman" w:cs="Times New Roman"/>
          <w:sz w:val="14"/>
          <w:szCs w:val="14"/>
        </w:rPr>
        <w:t xml:space="preserve">         </w:t>
      </w:r>
      <w:r>
        <w:rPr>
          <w:u w:val="single"/>
        </w:rPr>
        <w:t>Echelle nationale</w:t>
      </w:r>
    </w:p>
    <w:p w:rsidR="00D8424F" w:rsidRDefault="00207E05">
      <w:pPr>
        <w:ind w:left="708"/>
        <w:jc w:val="both"/>
      </w:pPr>
      <w:r>
        <w:t xml:space="preserve">Conformément au </w:t>
      </w:r>
      <w:hyperlink r:id="rId22">
        <w:r>
          <w:rPr>
            <w:color w:val="1155CC"/>
            <w:u w:val="single"/>
          </w:rPr>
          <w:t>mandat qui lui a été confié par la DGPR</w:t>
        </w:r>
      </w:hyperlink>
      <w:r>
        <w:t>, L’IGN travaille à la mise en place d’une plateforme nationale de diffusion de l’ensemble des données PCRS disponibles. Cette démarche s’inscrit dans le cadre d’un travail partenarial avec producteurs et utilisateurs</w:t>
      </w:r>
      <w:r>
        <w:t xml:space="preserve"> du PCRS. </w:t>
      </w:r>
    </w:p>
    <w:p w:rsidR="00D8424F" w:rsidRDefault="00207E05">
      <w:pPr>
        <w:pStyle w:val="Titre3"/>
        <w:jc w:val="both"/>
      </w:pPr>
      <w:bookmarkStart w:id="10" w:name="_qqf2vsvfbrs5" w:colFirst="0" w:colLast="0"/>
      <w:bookmarkEnd w:id="10"/>
      <w:r>
        <w:t>#8 Contributions techniques publication / outillage de gestion</w:t>
      </w:r>
    </w:p>
    <w:p w:rsidR="00D8424F" w:rsidRDefault="00207E05">
      <w:pPr>
        <w:ind w:left="1080" w:hanging="360"/>
        <w:jc w:val="both"/>
        <w:rPr>
          <w:u w:val="single"/>
        </w:rPr>
      </w:pPr>
      <w:r>
        <w:rPr>
          <w:sz w:val="20"/>
          <w:szCs w:val="20"/>
        </w:rPr>
        <w:t>·</w:t>
      </w:r>
      <w:r>
        <w:rPr>
          <w:rFonts w:ascii="Times New Roman" w:eastAsia="Times New Roman" w:hAnsi="Times New Roman" w:cs="Times New Roman"/>
          <w:sz w:val="14"/>
          <w:szCs w:val="14"/>
        </w:rPr>
        <w:t xml:space="preserve">         </w:t>
      </w:r>
      <w:r>
        <w:rPr>
          <w:u w:val="single"/>
        </w:rPr>
        <w:t>Echelle nationale</w:t>
      </w:r>
    </w:p>
    <w:p w:rsidR="00D8424F" w:rsidRDefault="00207E05">
      <w:pPr>
        <w:ind w:left="720"/>
        <w:jc w:val="both"/>
      </w:pPr>
      <w:r>
        <w:lastRenderedPageBreak/>
        <w:t>Dans la suite des réflexions sur la démarche de suivi, l’ANCT poursuivra ses contributions d’ordre technique auprès des acteurs de l’écosystème, notamment</w:t>
      </w:r>
      <w:r>
        <w:t xml:space="preserve"> pour la visualisation et la circulation des livrables PCRS entre producteurs et utilisateurs. Cela ne saurait conduire à l’exploitation de services industrialisés, plutôt la proposition de documents ou de codes sources réutilisables par l’écosystème, et c</w:t>
      </w:r>
      <w:r>
        <w:t xml:space="preserve">ohérents avec la plateforme nationale. </w:t>
      </w:r>
    </w:p>
    <w:p w:rsidR="00D8424F" w:rsidRDefault="00D8424F"/>
    <w:sectPr w:rsidR="00D8424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90AE5"/>
    <w:multiLevelType w:val="multilevel"/>
    <w:tmpl w:val="34786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hyphenationZone w:val="425"/>
  <w:characterSpacingControl w:val="doNotCompress"/>
  <w:compat>
    <w:compatSetting w:name="compatibilityMode" w:uri="http://schemas.microsoft.com/office/word" w:val="14"/>
  </w:compat>
  <w:rsids>
    <w:rsidRoot w:val="00D8424F"/>
    <w:rsid w:val="00207E05"/>
    <w:rsid w:val="00D842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207E0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7E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207E0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7E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cnig.gouv.fr/fiches-de-recommandations-du-gt-pcrs-a25938.html" TargetMode="External"/><Relationship Id="rId18" Type="http://schemas.openxmlformats.org/officeDocument/2006/relationships/hyperlink" Target="https://www.europe-en-france.gouv.fr/fr/trouver-une-aide" TargetMode="External"/><Relationship Id="rId3" Type="http://schemas.microsoft.com/office/2007/relationships/stylesWithEffects" Target="stylesWithEffects.xml"/><Relationship Id="rId21" Type="http://schemas.openxmlformats.org/officeDocument/2006/relationships/hyperlink" Target="https://github.com/openpcrs/pcrs.beta.gouv.fr" TargetMode="External"/><Relationship Id="rId7" Type="http://schemas.openxmlformats.org/officeDocument/2006/relationships/image" Target="media/image2.png"/><Relationship Id="rId12" Type="http://schemas.openxmlformats.org/officeDocument/2006/relationships/hyperlink" Target="https://cnig.gouv.fr/plan-de-corps-de-rue-simplifie-r21411.html" TargetMode="External"/><Relationship Id="rId17" Type="http://schemas.openxmlformats.org/officeDocument/2006/relationships/hyperlink" Target="https://macarte.ign.fr/carte-narrative/voir/b0839fa088b6b4f34fb1381502190574/Contacts+territoriaux+IGN" TargetMode="External"/><Relationship Id="rId2" Type="http://schemas.openxmlformats.org/officeDocument/2006/relationships/styles" Target="styles.xml"/><Relationship Id="rId16" Type="http://schemas.openxmlformats.org/officeDocument/2006/relationships/hyperlink" Target="https://geoservices.ign.fr/pcrs" TargetMode="External"/><Relationship Id="rId20" Type="http://schemas.openxmlformats.org/officeDocument/2006/relationships/hyperlink" Target="https://docs.pcrs.beta.gouv.fr/suivi-des-projets/demarch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nig.gouv.fr/plan-de-corps-de-rue-simplifie-r21411.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eoservices.ign.fr/pcrs" TargetMode="External"/><Relationship Id="rId23" Type="http://schemas.openxmlformats.org/officeDocument/2006/relationships/fontTable" Target="fontTable.xml"/><Relationship Id="rId10" Type="http://schemas.openxmlformats.org/officeDocument/2006/relationships/hyperlink" Target="https://docs.pcrs.beta.gouv.fr/contexte/reglementation/questionnements-reglementaires" TargetMode="External"/><Relationship Id="rId19" Type="http://schemas.openxmlformats.org/officeDocument/2006/relationships/hyperlink" Target="https://www.europe-en-france.gouv.fr/fr/trouver-une-aide" TargetMode="External"/><Relationship Id="rId4" Type="http://schemas.openxmlformats.org/officeDocument/2006/relationships/settings" Target="settings.xml"/><Relationship Id="rId9" Type="http://schemas.openxmlformats.org/officeDocument/2006/relationships/hyperlink" Target="https://docs.pcrs.beta.gouv.fr/" TargetMode="External"/><Relationship Id="rId14" Type="http://schemas.openxmlformats.org/officeDocument/2006/relationships/hyperlink" Target="https://cnig.gouv.fr/fiches-de-recommandations-du-gt-pcrs-a25938.html" TargetMode="External"/><Relationship Id="rId22" Type="http://schemas.openxmlformats.org/officeDocument/2006/relationships/hyperlink" Target="https://geoservices.ign.fr/sites/default/files/2023-01/IGN_PCRS%20mandat%20DGP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1171</Words>
  <Characters>6441</Characters>
  <Application>Microsoft Office Word</Application>
  <DocSecurity>0</DocSecurity>
  <Lines>53</Lines>
  <Paragraphs>15</Paragraphs>
  <ScaleCrop>false</ScaleCrop>
  <Company>IGN</Company>
  <LinksUpToDate>false</LinksUpToDate>
  <CharactersWithSpaces>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Petitdidier</dc:creator>
  <cp:lastModifiedBy>Cecile Petitdidier</cp:lastModifiedBy>
  <cp:revision>2</cp:revision>
  <dcterms:created xsi:type="dcterms:W3CDTF">2023-11-15T07:59:00Z</dcterms:created>
  <dcterms:modified xsi:type="dcterms:W3CDTF">2023-11-15T07:59:00Z</dcterms:modified>
</cp:coreProperties>
</file>